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6C7AD6">
        <w:rPr>
          <w:rFonts w:ascii="Arial" w:hAnsi="Arial" w:cs="Arial"/>
          <w:sz w:val="28"/>
          <w:szCs w:val="28"/>
        </w:rPr>
        <w:t>Южн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177AC5">
      <w:pPr>
        <w:ind w:left="-1418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FB76D9">
        <w:rPr>
          <w:rFonts w:ascii="Arial" w:hAnsi="Arial" w:cs="Arial"/>
          <w:sz w:val="28"/>
          <w:szCs w:val="28"/>
        </w:rPr>
        <w:t>4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776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966"/>
        <w:gridCol w:w="1134"/>
        <w:gridCol w:w="992"/>
        <w:gridCol w:w="1586"/>
        <w:gridCol w:w="993"/>
        <w:gridCol w:w="1560"/>
      </w:tblGrid>
      <w:tr w:rsidR="00FB76D9" w:rsidRPr="00FB76D9" w:rsidTr="00FB76D9">
        <w:trPr>
          <w:trHeight w:val="255"/>
        </w:trPr>
        <w:tc>
          <w:tcPr>
            <w:tcW w:w="3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Введено общей площади жилых помещений на душу населения (</w:t>
            </w:r>
            <w:proofErr w:type="spellStart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м) </w:t>
            </w:r>
          </w:p>
        </w:tc>
        <w:tc>
          <w:tcPr>
            <w:tcW w:w="3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Введено, </w:t>
            </w:r>
            <w:proofErr w:type="spellStart"/>
            <w:proofErr w:type="gramStart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</w:tr>
      <w:tr w:rsidR="00FB76D9" w:rsidRPr="00FB76D9" w:rsidTr="00FB76D9">
        <w:trPr>
          <w:trHeight w:val="348"/>
        </w:trPr>
        <w:tc>
          <w:tcPr>
            <w:tcW w:w="354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за период с начала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Апрель  2019 г.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% к                соответствующему периоду прошлого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за период с начала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FB76D9">
              <w:rPr>
                <w:rFonts w:ascii="Arial" w:hAnsi="Arial" w:cs="Arial"/>
                <w:color w:val="000000"/>
                <w:sz w:val="16"/>
                <w:szCs w:val="16"/>
              </w:rPr>
              <w:t xml:space="preserve"> % к                соответствующему периоду прошлого года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19575,70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4794,8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97,1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10427,2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98,2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Южный федеральный округ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2501,80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637,2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108,9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1307,4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76D9">
              <w:rPr>
                <w:rFonts w:ascii="Arial" w:hAnsi="Arial" w:cs="Arial"/>
                <w:b/>
                <w:bCs/>
                <w:color w:val="000000"/>
              </w:rPr>
              <w:t>101,7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Республика Адыгея (Адыгея)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41,60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12,2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35,6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129,7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Республика Калмыкия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28,80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88,4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14,3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66,0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Краснодарский край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1208,60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330,0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590,0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121,5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Астраханская область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122,00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13,0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61,5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50,7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Волгоградская область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199,10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29,3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87,0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Ростовская область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751,60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193,3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433,3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107,9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Республика Крым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69,90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33,0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57,9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42,8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190,0</w:t>
            </w:r>
          </w:p>
        </w:tc>
      </w:tr>
      <w:tr w:rsidR="00FB76D9" w:rsidRPr="00FB76D9" w:rsidTr="00FB76D9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AF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FB76D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FB76D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FB76D9">
              <w:rPr>
                <w:rFonts w:ascii="Arial" w:hAnsi="Arial" w:cs="Arial"/>
                <w:color w:val="000000"/>
              </w:rPr>
              <w:t>евастополь</w:t>
            </w:r>
            <w:proofErr w:type="spellEnd"/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80,20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18,7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60,2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27,4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6D9" w:rsidRPr="00FB76D9" w:rsidRDefault="00FB76D9" w:rsidP="00FB7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B76D9">
              <w:rPr>
                <w:rFonts w:ascii="Arial" w:hAnsi="Arial" w:cs="Arial"/>
                <w:color w:val="000000"/>
              </w:rPr>
              <w:t>31,1</w:t>
            </w:r>
          </w:p>
        </w:tc>
      </w:tr>
    </w:tbl>
    <w:p w:rsidR="00177AC5" w:rsidRPr="00FB76D9" w:rsidRDefault="00177AC5" w:rsidP="00FB76D9">
      <w:pPr>
        <w:tabs>
          <w:tab w:val="left" w:pos="1504"/>
        </w:tabs>
      </w:pPr>
    </w:p>
    <w:sectPr w:rsidR="00177AC5" w:rsidRPr="00FB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09524E"/>
    <w:rsid w:val="00153670"/>
    <w:rsid w:val="00177AC5"/>
    <w:rsid w:val="002753C0"/>
    <w:rsid w:val="00601B87"/>
    <w:rsid w:val="006C7AD6"/>
    <w:rsid w:val="007F44E0"/>
    <w:rsid w:val="00A11341"/>
    <w:rsid w:val="00AF449D"/>
    <w:rsid w:val="00B06E3C"/>
    <w:rsid w:val="00EB2FA2"/>
    <w:rsid w:val="00F17278"/>
    <w:rsid w:val="00FB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11</cp:revision>
  <dcterms:created xsi:type="dcterms:W3CDTF">2019-03-19T11:23:00Z</dcterms:created>
  <dcterms:modified xsi:type="dcterms:W3CDTF">2019-06-04T10:21:00Z</dcterms:modified>
</cp:coreProperties>
</file>